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C3FE6">
      <w:pPr>
        <w:pStyle w:val="2"/>
        <w:numPr>
          <w:ilvl w:val="0"/>
          <w:numId w:val="0"/>
        </w:numPr>
        <w:bidi w:val="0"/>
        <w:jc w:val="center"/>
        <w:rPr>
          <w:rFonts w:hint="default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闻道科学导航使用说明</w:t>
      </w:r>
    </w:p>
    <w:p w14:paraId="1540E2E0">
      <w:pPr>
        <w:pStyle w:val="2"/>
        <w:numPr>
          <w:ilvl w:val="0"/>
          <w:numId w:val="0"/>
        </w:numPr>
        <w:bidi w:val="0"/>
        <w:jc w:val="left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一、闻道科学导航简介</w:t>
      </w:r>
    </w:p>
    <w:p w14:paraId="48EB2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全新一代高校智能科学服务平台——闻道科学导航以“深度理解·前沿洞察·知识创造”为核心学术理念，依托大语言模型、多模态语义理解与动态学科AI知识库三大引擎，构建覆盖科研探索、教学创新与自主学习的全场景智慧服务生态，开启智能驱动的科研新范式。核心功能与特点：</w:t>
      </w:r>
    </w:p>
    <w:p w14:paraId="1A6097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（1）AI研究员：多维度精准解析科学问题</w:t>
      </w:r>
    </w:p>
    <w:p w14:paraId="63DF99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融合全球权威学术资源为科研提供逻辑严谨、可溯源的学术解析。</w:t>
      </w:r>
    </w:p>
    <w:p w14:paraId="63524A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（2）AI学术追踪：捕捉最新研究成果</w:t>
      </w:r>
    </w:p>
    <w:p w14:paraId="03808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基于用户研究兴趣，实时推送最新研究进展、核心期刊动态、学者成果，不错过任何重要发现。</w:t>
      </w:r>
    </w:p>
    <w:p w14:paraId="38584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（3）知识创造：全周期科研辅助</w:t>
      </w:r>
    </w:p>
    <w:p w14:paraId="46D38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从发现问题、文献分析到知识管理，实现多场景学术赋能，助力科研人员高效创新、促进学生自主学习。</w:t>
      </w:r>
    </w:p>
    <w:p w14:paraId="2A342BFB"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br w:type="page"/>
      </w:r>
    </w:p>
    <w:p w14:paraId="76CC8B2C">
      <w:pPr>
        <w:pStyle w:val="2"/>
        <w:numPr>
          <w:ilvl w:val="0"/>
          <w:numId w:val="1"/>
        </w:numPr>
        <w:bidi w:val="0"/>
        <w:jc w:val="left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使用手册</w:t>
      </w:r>
    </w:p>
    <w:p w14:paraId="14DE1350">
      <w:pPr>
        <w:pStyle w:val="8"/>
        <w:spacing w:line="240" w:lineRule="auto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1.登录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及首页布局</w:t>
      </w:r>
    </w:p>
    <w:p w14:paraId="5126CC11">
      <w:pPr>
        <w:pStyle w:val="9"/>
        <w:spacing w:line="240" w:lineRule="auto"/>
        <w:jc w:val="left"/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访问地址：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https://huetsg.libsp.net（建议使用谷歌浏览</w:t>
      </w:r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器访问），然后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登录账号。</w:t>
      </w:r>
    </w:p>
    <w:p w14:paraId="7559E331">
      <w:pPr>
        <w:pStyle w:val="9"/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drawing>
          <wp:inline distT="0" distB="0" distL="114300" distR="114300">
            <wp:extent cx="5257800" cy="2519045"/>
            <wp:effectExtent l="0" t="0" r="0" b="1079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FCE84">
      <w:pPr>
        <w:pStyle w:val="9"/>
        <w:spacing w:line="240" w:lineRule="auto"/>
        <w:jc w:val="left"/>
      </w:pPr>
    </w:p>
    <w:p w14:paraId="67C7C472">
      <w:pPr>
        <w:pStyle w:val="9"/>
        <w:spacing w:line="240" w:lineRule="auto"/>
        <w:jc w:val="left"/>
        <w:rPr>
          <w:rFonts w:hint="default" w:ascii="仿宋" w:hAnsi="仿宋" w:eastAsia="仿宋" w:cs="仿宋"/>
          <w:b/>
          <w:bCs/>
          <w:sz w:val="32"/>
          <w:szCs w:val="32"/>
          <w:rtl w:val="0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32"/>
          <w:szCs w:val="32"/>
          <w:rtl w:val="0"/>
          <w:lang w:val="en-US" w:eastAsia="zh-CN"/>
        </w:rPr>
        <w:t>功能按钮和布局：</w:t>
      </w:r>
    </w:p>
    <w:p w14:paraId="3E938F41">
      <w:pPr>
        <w:pStyle w:val="9"/>
        <w:spacing w:line="240" w:lineRule="auto"/>
        <w:jc w:val="left"/>
      </w:pPr>
    </w:p>
    <w:p w14:paraId="22CB4EB5">
      <w:pPr>
        <w:pStyle w:val="9"/>
        <w:spacing w:line="240" w:lineRule="auto"/>
        <w:jc w:val="left"/>
        <w:rPr>
          <w:rFonts w:hint="default"/>
          <w:rtl w:val="0"/>
          <w:lang w:val="en-US" w:eastAsia="zh-CN"/>
        </w:rPr>
      </w:pPr>
      <w:r>
        <w:drawing>
          <wp:inline distT="0" distB="0" distL="114300" distR="114300">
            <wp:extent cx="5257800" cy="2519045"/>
            <wp:effectExtent l="0" t="0" r="0" b="10795"/>
            <wp:docPr id="4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DDC57">
      <w:pPr>
        <w:pStyle w:val="9"/>
        <w:spacing w:line="240" w:lineRule="auto"/>
        <w:jc w:val="left"/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（1）点击左上角三横：可以展开功能菜单按钮，同时可以点击搜索图标进行文献搜索。</w:t>
      </w:r>
    </w:p>
    <w:p w14:paraId="5149EF44">
      <w:pPr>
        <w:pStyle w:val="9"/>
        <w:spacing w:line="240" w:lineRule="auto"/>
        <w:jc w:val="left"/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（2）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左</w:t>
      </w: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侧功能按钮：共计1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1</w:t>
      </w: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个按钮，涵盖了科学探索、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学术追踪</w:t>
      </w: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灵感画布、深度学习、</w:t>
      </w: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AI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课堂</w:t>
      </w: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知识星链</w:t>
      </w: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AI图书、白泽</w:t>
      </w: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、历史记录和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个人信息</w:t>
      </w: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。</w:t>
      </w:r>
    </w:p>
    <w:p w14:paraId="2DF78D6D">
      <w:pPr>
        <w:pStyle w:val="9"/>
        <w:spacing w:line="240" w:lineRule="auto"/>
        <w:jc w:val="left"/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（3）右上角知识星链：可以快速进行团队/个人知识库的建设。</w:t>
      </w:r>
    </w:p>
    <w:p w14:paraId="47D85C5D">
      <w:pPr>
        <w:pStyle w:val="9"/>
        <w:spacing w:line="240" w:lineRule="auto"/>
        <w:jc w:val="left"/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（4）点击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左下</w:t>
      </w: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角头像：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进入设置</w:t>
      </w: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可以进行参数设置、新手引导、历史记录等功能。</w:t>
      </w:r>
    </w:p>
    <w:p w14:paraId="6D7824B3">
      <w:pPr>
        <w:pStyle w:val="9"/>
        <w:spacing w:line="240" w:lineRule="auto"/>
        <w:jc w:val="left"/>
        <w:rPr>
          <w:rFonts w:hint="eastAsia"/>
        </w:rPr>
      </w:pP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（5）页面中间检索框：检索框左下角可以选择检索类型；右侧可以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设置检索源</w:t>
      </w: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，加号可以上传文档；检索框下方有推荐检索和推荐文献内容。</w:t>
      </w:r>
    </w:p>
    <w:p w14:paraId="05C87228">
      <w:pPr>
        <w:pStyle w:val="8"/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2.科学探索</w:t>
      </w:r>
    </w:p>
    <w:p w14:paraId="44B87A69">
      <w:pPr>
        <w:pStyle w:val="10"/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2.1  AI问答</w:t>
      </w:r>
    </w:p>
    <w:p w14:paraId="058621C3">
      <w:pPr>
        <w:pStyle w:val="9"/>
        <w:spacing w:line="240" w:lineRule="auto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根据使用场景，支持用户选择探索问答、学科·综合问答、学科/领域专业知识库问答、Deep Research深度研究问答。</w:t>
      </w:r>
    </w:p>
    <w:p w14:paraId="2B034F79">
      <w:pPr>
        <w:pStyle w:val="9"/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drawing>
          <wp:inline distT="0" distB="0" distL="114300" distR="114300">
            <wp:extent cx="5257800" cy="2519045"/>
            <wp:effectExtent l="0" t="0" r="0" b="10795"/>
            <wp:docPr id="4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A92EA">
      <w:pPr>
        <w:pStyle w:val="9"/>
        <w:numPr>
          <w:ilvl w:val="0"/>
          <w:numId w:val="2"/>
        </w:numPr>
        <w:spacing w:line="240" w:lineRule="auto"/>
        <w:jc w:val="left"/>
        <w:rPr>
          <w:rFonts w:hint="eastAsia" w:ascii="仿宋" w:hAnsi="仿宋" w:eastAsia="仿宋" w:cs="仿宋"/>
          <w:sz w:val="32"/>
          <w:szCs w:val="32"/>
          <w:rtl w:val="0"/>
          <w:lang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rtl w:val="0"/>
        </w:rPr>
        <w:t>探索问答</w:t>
      </w:r>
      <w:r>
        <w:rPr>
          <w:rFonts w:hint="eastAsia" w:ascii="仿宋" w:hAnsi="仿宋" w:eastAsia="仿宋" w:cs="仿宋"/>
          <w:sz w:val="32"/>
          <w:szCs w:val="32"/>
          <w:rtl w:val="0"/>
        </w:rPr>
        <w:t>：打破孤岛，实现异构资源交互访问，整合中外文学术资源，提供最新、最全的学术研究热点、研究方向，为跨学科探索和问答提供坚实知识支撑。</w:t>
      </w:r>
    </w:p>
    <w:p w14:paraId="3620D7B8">
      <w:pPr>
        <w:pStyle w:val="9"/>
        <w:numPr>
          <w:ilvl w:val="0"/>
          <w:numId w:val="0"/>
        </w:numPr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drawing>
          <wp:inline distT="0" distB="0" distL="114300" distR="114300">
            <wp:extent cx="5257800" cy="2519045"/>
            <wp:effectExtent l="0" t="0" r="0" b="10795"/>
            <wp:docPr id="4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52747">
      <w:pPr>
        <w:pStyle w:val="9"/>
        <w:numPr>
          <w:ilvl w:val="0"/>
          <w:numId w:val="2"/>
        </w:numPr>
        <w:spacing w:line="240" w:lineRule="auto"/>
        <w:ind w:left="0" w:leftChars="0" w:firstLine="0" w:firstLineChars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学科/领域专业知识库问答</w:t>
      </w:r>
      <w:r>
        <w:rPr>
          <w:rFonts w:hint="eastAsia" w:ascii="仿宋" w:hAnsi="仿宋" w:eastAsia="仿宋" w:cs="仿宋"/>
          <w:sz w:val="32"/>
          <w:szCs w:val="32"/>
        </w:rPr>
        <w:t>：构建垂直领域AI知识库，可根据需要自由选择不同学科智能体，确保在不同学科（如法学、医学等）的检索中，能够针对性地基于专业学科性的AI知识库进行精准问答与知识检索。</w:t>
      </w:r>
    </w:p>
    <w:p w14:paraId="6B125186">
      <w:pPr>
        <w:pStyle w:val="9"/>
        <w:numPr>
          <w:ilvl w:val="0"/>
          <w:numId w:val="0"/>
        </w:numPr>
        <w:spacing w:line="240" w:lineRule="auto"/>
        <w:ind w:leftChars="0"/>
        <w:jc w:val="left"/>
        <w:rPr>
          <w:rFonts w:hint="eastAsia" w:ascii="仿宋" w:hAnsi="仿宋" w:eastAsia="仿宋" w:cs="仿宋"/>
          <w:sz w:val="32"/>
          <w:szCs w:val="32"/>
        </w:rPr>
      </w:pPr>
      <w:r>
        <w:drawing>
          <wp:inline distT="0" distB="0" distL="114300" distR="114300">
            <wp:extent cx="5257800" cy="2519045"/>
            <wp:effectExtent l="0" t="0" r="0" b="10795"/>
            <wp:docPr id="4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32959">
      <w:pPr>
        <w:pStyle w:val="9"/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drawing>
          <wp:inline distT="0" distB="0" distL="114300" distR="114300">
            <wp:extent cx="5257800" cy="2519045"/>
            <wp:effectExtent l="0" t="0" r="0" b="10795"/>
            <wp:docPr id="4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CC652">
      <w:pPr>
        <w:pStyle w:val="9"/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494949"/>
          <w:sz w:val="32"/>
          <w:szCs w:val="32"/>
          <w:rtl w:val="0"/>
        </w:rPr>
        <w:t>（</w:t>
      </w:r>
      <w:r>
        <w:rPr>
          <w:rFonts w:hint="eastAsia" w:ascii="仿宋" w:hAnsi="仿宋" w:eastAsia="仿宋" w:cs="仿宋"/>
          <w:color w:val="494949"/>
          <w:sz w:val="32"/>
          <w:szCs w:val="32"/>
          <w:rtl w:val="0"/>
          <w:lang w:val="en-US" w:eastAsia="zh-CN"/>
        </w:rPr>
        <w:t>3</w:t>
      </w:r>
      <w:r>
        <w:rPr>
          <w:rFonts w:hint="eastAsia" w:ascii="仿宋" w:hAnsi="仿宋" w:eastAsia="仿宋" w:cs="仿宋"/>
          <w:color w:val="494949"/>
          <w:sz w:val="32"/>
          <w:szCs w:val="32"/>
          <w:rtl w:val="0"/>
        </w:rPr>
        <w:t>）</w:t>
      </w:r>
      <w:r>
        <w:rPr>
          <w:rFonts w:hint="eastAsia" w:ascii="仿宋" w:hAnsi="仿宋" w:eastAsia="仿宋" w:cs="仿宋"/>
          <w:b/>
          <w:color w:val="494949"/>
          <w:sz w:val="32"/>
          <w:szCs w:val="32"/>
          <w:rtl w:val="0"/>
        </w:rPr>
        <w:t>DeepResearch</w:t>
      </w:r>
      <w:r>
        <w:rPr>
          <w:rFonts w:hint="eastAsia" w:ascii="仿宋" w:hAnsi="仿宋" w:eastAsia="仿宋" w:cs="仿宋"/>
          <w:color w:val="494949"/>
          <w:sz w:val="32"/>
          <w:szCs w:val="32"/>
          <w:rtl w:val="0"/>
        </w:rPr>
        <w:t>：</w:t>
      </w:r>
    </w:p>
    <w:p w14:paraId="2C87D006">
      <w:pPr>
        <w:pStyle w:val="9"/>
        <w:numPr>
          <w:ilvl w:val="0"/>
          <w:numId w:val="0"/>
        </w:numPr>
        <w:spacing w:line="240" w:lineRule="auto"/>
        <w:ind w:leftChars="0"/>
        <w:jc w:val="left"/>
        <w:rPr>
          <w:rFonts w:hint="eastAsia" w:ascii="仿宋" w:hAnsi="仿宋" w:eastAsia="仿宋" w:cs="仿宋"/>
          <w:color w:val="494949"/>
          <w:sz w:val="32"/>
          <w:szCs w:val="32"/>
        </w:rPr>
      </w:pPr>
      <w:r>
        <w:rPr>
          <w:rFonts w:hint="eastAsia" w:ascii="仿宋" w:hAnsi="仿宋" w:eastAsia="仿宋" w:cs="仿宋"/>
          <w:color w:val="494949"/>
          <w:sz w:val="32"/>
          <w:szCs w:val="32"/>
          <w:rtl w:val="0"/>
        </w:rPr>
        <w:t>自动拆解任务，并进行信息检索、整合、分析，最终生成一份可编辑、可下载、可视化的研究报告，还可以根据报告内容生成PPT，直接交付可用于汇报的成果。预设了“学术论文”“开题报告”“行业调研”“创新性分析”“数据分析”“AI教案”六大生成模式。支持选择不同的报告模板进行生成</w:t>
      </w:r>
      <w:r>
        <w:rPr>
          <w:rFonts w:hint="eastAsia" w:ascii="仿宋" w:hAnsi="仿宋" w:eastAsia="仿宋" w:cs="仿宋"/>
          <w:color w:val="494949"/>
          <w:sz w:val="32"/>
          <w:szCs w:val="32"/>
          <w:rtl w:val="0"/>
          <w:lang w:eastAsia="zh-CN"/>
        </w:rPr>
        <w:t>。</w:t>
      </w:r>
    </w:p>
    <w:p w14:paraId="0687CEA3">
      <w:pPr>
        <w:pStyle w:val="9"/>
        <w:spacing w:line="240" w:lineRule="auto"/>
        <w:jc w:val="left"/>
      </w:pPr>
      <w:r>
        <w:drawing>
          <wp:inline distT="0" distB="0" distL="114300" distR="114300">
            <wp:extent cx="5257800" cy="2519045"/>
            <wp:effectExtent l="0" t="0" r="0" b="10795"/>
            <wp:docPr id="4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5C04A">
      <w:pPr>
        <w:pStyle w:val="9"/>
        <w:spacing w:line="240" w:lineRule="auto"/>
        <w:jc w:val="left"/>
        <w:rPr>
          <w:rFonts w:hint="eastAsia"/>
        </w:rPr>
      </w:pPr>
      <w:r>
        <w:drawing>
          <wp:inline distT="0" distB="0" distL="114300" distR="114300">
            <wp:extent cx="5257800" cy="2519045"/>
            <wp:effectExtent l="0" t="0" r="0" b="10795"/>
            <wp:docPr id="3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3B692">
      <w:pPr>
        <w:pStyle w:val="9"/>
        <w:numPr>
          <w:ilvl w:val="0"/>
          <w:numId w:val="0"/>
        </w:numPr>
        <w:spacing w:line="240" w:lineRule="auto"/>
        <w:ind w:leftChars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自建报告模板</w:t>
      </w:r>
    </w:p>
    <w:p w14:paraId="655E51CE">
      <w:pPr>
        <w:pStyle w:val="9"/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drawing>
          <wp:inline distT="0" distB="0" distL="114300" distR="114300">
            <wp:extent cx="5257800" cy="2519045"/>
            <wp:effectExtent l="0" t="0" r="0" b="10795"/>
            <wp:docPr id="4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1FA8C">
      <w:pPr>
        <w:pStyle w:val="9"/>
        <w:numPr>
          <w:ilvl w:val="0"/>
          <w:numId w:val="0"/>
        </w:numPr>
        <w:spacing w:line="240" w:lineRule="auto"/>
        <w:ind w:leftChars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根据模板内容，生成对应的报告内容</w:t>
      </w:r>
    </w:p>
    <w:p w14:paraId="4A7D90D1">
      <w:pPr>
        <w:pStyle w:val="9"/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029200" cy="2364740"/>
            <wp:effectExtent l="0" t="0" r="0" b="12700"/>
            <wp:docPr id="85" name="Drawing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Drawing 1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6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C4EF6">
      <w:pPr>
        <w:pStyle w:val="9"/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5029200" cy="2385695"/>
            <wp:effectExtent l="0" t="0" r="0" b="6985"/>
            <wp:docPr id="87" name="Drawing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Drawing 1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92214">
      <w:pPr>
        <w:pStyle w:val="10"/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2.2  为你推荐</w:t>
      </w:r>
    </w:p>
    <w:p w14:paraId="52FC9AFD">
      <w:pPr>
        <w:pStyle w:val="9"/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（1）首次登录，自动推送领域设置弹窗，用户进行选择（根据教育部学科分类、ESI学科进行勾选），可进行二次修改</w:t>
      </w:r>
      <w:r>
        <w:drawing>
          <wp:inline distT="0" distB="0" distL="114300" distR="114300">
            <wp:extent cx="5257800" cy="2519045"/>
            <wp:effectExtent l="0" t="0" r="0" b="10795"/>
            <wp:docPr id="2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3784A">
      <w:pPr>
        <w:pStyle w:val="9"/>
        <w:spacing w:line="36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（2）根据兴趣领域、用户画像，千人千面推送个性化资源</w:t>
      </w:r>
      <w:r>
        <w:drawing>
          <wp:inline distT="0" distB="0" distL="114300" distR="114300">
            <wp:extent cx="5257800" cy="2519045"/>
            <wp:effectExtent l="0" t="0" r="0" b="10795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1E479">
      <w:pPr>
        <w:pStyle w:val="8"/>
        <w:spacing w:line="36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3.AI学术追踪</w:t>
      </w:r>
    </w:p>
    <w:p w14:paraId="2BF04215">
      <w:pPr>
        <w:pStyle w:val="9"/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通过AI研判用户的研究方向、聚焦技术细节、关注特定应用场景、描述研究目标或是通过明确具体的研究问题等角度来设置兴趣点/订阅期刊/关注学者/学术顶会/机构资源。自动筛选并推送最新的相关主题论文，确保用户不错过任何重要的研究动态。</w:t>
      </w:r>
    </w:p>
    <w:p w14:paraId="26569B84">
      <w:pPr>
        <w:pStyle w:val="10"/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3.1研究兴趣</w:t>
      </w:r>
    </w:p>
    <w:p w14:paraId="2C606238">
      <w:pPr>
        <w:pStyle w:val="9"/>
        <w:numPr>
          <w:ilvl w:val="0"/>
          <w:numId w:val="3"/>
        </w:numPr>
        <w:spacing w:line="240" w:lineRule="auto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新增研究兴趣：输入研究兴趣、研究内容，根据输入的内容自动生成、推荐相关研究兴趣给用户，点击“追踪”，进行追踪研究最新文章</w:t>
      </w:r>
    </w:p>
    <w:p w14:paraId="68E4D75B">
      <w:pPr>
        <w:pStyle w:val="9"/>
        <w:numPr>
          <w:ilvl w:val="0"/>
          <w:numId w:val="0"/>
        </w:numPr>
        <w:spacing w:line="240" w:lineRule="auto"/>
        <w:jc w:val="left"/>
      </w:pPr>
      <w:r>
        <w:drawing>
          <wp:inline distT="0" distB="0" distL="114300" distR="114300">
            <wp:extent cx="5257800" cy="2519045"/>
            <wp:effectExtent l="0" t="0" r="0" b="10795"/>
            <wp:docPr id="2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33AE2">
      <w:pPr>
        <w:pStyle w:val="9"/>
        <w:numPr>
          <w:ilvl w:val="0"/>
          <w:numId w:val="0"/>
        </w:numPr>
        <w:spacing w:line="240" w:lineRule="auto"/>
        <w:jc w:val="left"/>
      </w:pPr>
      <w:r>
        <w:drawing>
          <wp:inline distT="0" distB="0" distL="114300" distR="114300">
            <wp:extent cx="5257800" cy="2519045"/>
            <wp:effectExtent l="0" t="0" r="0" b="10795"/>
            <wp:docPr id="2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4F89C">
      <w:pPr>
        <w:pStyle w:val="9"/>
        <w:numPr>
          <w:ilvl w:val="0"/>
          <w:numId w:val="0"/>
        </w:numPr>
        <w:spacing w:line="240" w:lineRule="auto"/>
        <w:jc w:val="left"/>
        <w:rPr>
          <w:rFonts w:hint="eastAsia"/>
        </w:rPr>
      </w:pPr>
    </w:p>
    <w:p w14:paraId="7FFEB458">
      <w:pPr>
        <w:pStyle w:val="9"/>
        <w:numPr>
          <w:ilvl w:val="0"/>
          <w:numId w:val="3"/>
        </w:numPr>
        <w:spacing w:line="240" w:lineRule="auto"/>
        <w:ind w:left="0" w:leftChars="0" w:firstLine="0" w:firstLineChars="0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根据研究兴趣，推送相关学术资源，可对资源进行“加入阅读清单”“引用”“AI解读”。如资源存在原文情况下，点击【AI速读】，打开AI速读页面</w:t>
      </w:r>
    </w:p>
    <w:p w14:paraId="2B1E6A46">
      <w:pPr>
        <w:pStyle w:val="9"/>
        <w:numPr>
          <w:ilvl w:val="0"/>
          <w:numId w:val="0"/>
        </w:numPr>
        <w:spacing w:line="240" w:lineRule="auto"/>
        <w:ind w:leftChars="0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  <w:r>
        <w:drawing>
          <wp:inline distT="0" distB="0" distL="114300" distR="114300">
            <wp:extent cx="5257800" cy="2519045"/>
            <wp:effectExtent l="0" t="0" r="0" b="10795"/>
            <wp:docPr id="3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4EBFC">
      <w:pPr>
        <w:pStyle w:val="9"/>
        <w:spacing w:line="240" w:lineRule="auto"/>
        <w:jc w:val="left"/>
      </w:pPr>
      <w:r>
        <w:drawing>
          <wp:inline distT="0" distB="0" distL="114300" distR="114300">
            <wp:extent cx="5257800" cy="2519045"/>
            <wp:effectExtent l="0" t="0" r="0" b="10795"/>
            <wp:docPr id="3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DDD2C">
      <w:pPr>
        <w:pStyle w:val="9"/>
        <w:spacing w:line="240" w:lineRule="auto"/>
        <w:jc w:val="left"/>
        <w:rPr>
          <w:rFonts w:hint="eastAsia"/>
        </w:rPr>
      </w:pPr>
      <w:r>
        <w:drawing>
          <wp:inline distT="0" distB="0" distL="114300" distR="114300">
            <wp:extent cx="5257800" cy="2519045"/>
            <wp:effectExtent l="0" t="0" r="0" b="10795"/>
            <wp:docPr id="3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89A2C">
      <w:pPr>
        <w:pStyle w:val="9"/>
        <w:numPr>
          <w:ilvl w:val="0"/>
          <w:numId w:val="3"/>
        </w:numPr>
        <w:spacing w:line="360" w:lineRule="auto"/>
        <w:ind w:left="0" w:leftChars="0" w:firstLine="0" w:firstLineChars="0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【AI速览】，对当前资源进行AI总结，</w:t>
      </w:r>
      <w:r>
        <w:rPr>
          <w:rFonts w:hint="eastAsia" w:ascii="仿宋" w:hAnsi="仿宋" w:eastAsia="仿宋" w:cs="仿宋"/>
          <w:color w:val="3E3E3E"/>
          <w:sz w:val="32"/>
          <w:szCs w:val="32"/>
          <w:highlight w:val="white"/>
          <w:rtl w:val="0"/>
        </w:rPr>
        <w:t>快速提炼文献的核心内容和关键创新点</w:t>
      </w:r>
      <w:r>
        <w:rPr>
          <w:rFonts w:hint="eastAsia" w:ascii="仿宋" w:hAnsi="仿宋" w:eastAsia="仿宋" w:cs="仿宋"/>
          <w:sz w:val="32"/>
          <w:szCs w:val="32"/>
          <w:rtl w:val="0"/>
        </w:rPr>
        <w:t>；点击溯源角标，可快速定位到对应的资源</w:t>
      </w:r>
    </w:p>
    <w:p w14:paraId="6DDCCF15">
      <w:pPr>
        <w:pStyle w:val="9"/>
        <w:numPr>
          <w:ilvl w:val="0"/>
          <w:numId w:val="0"/>
        </w:numPr>
        <w:spacing w:line="360" w:lineRule="auto"/>
        <w:ind w:leftChars="0"/>
        <w:jc w:val="left"/>
        <w:rPr>
          <w:rFonts w:hint="eastAsia" w:ascii="仿宋" w:hAnsi="仿宋" w:eastAsia="仿宋" w:cs="仿宋"/>
          <w:sz w:val="32"/>
          <w:szCs w:val="32"/>
        </w:rPr>
      </w:pPr>
      <w:r>
        <w:drawing>
          <wp:inline distT="0" distB="0" distL="114300" distR="114300">
            <wp:extent cx="5257800" cy="2519045"/>
            <wp:effectExtent l="0" t="0" r="0" b="10795"/>
            <wp:docPr id="3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8E000">
      <w:pPr>
        <w:pStyle w:val="10"/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3.2学术期刊</w:t>
      </w:r>
    </w:p>
    <w:p w14:paraId="13898025">
      <w:pPr>
        <w:pStyle w:val="9"/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根据研究兴趣，订阅期刊，推送相关的最新研究成果、文章</w:t>
      </w:r>
    </w:p>
    <w:p w14:paraId="5397B5F7">
      <w:pPr>
        <w:pStyle w:val="9"/>
        <w:spacing w:line="36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（1）新增关注期刊：输入研究兴趣，科学导航根据输入的内容自动生成、推荐相关期刊给用户，点击“追踪”，进行追踪期刊，期刊更新后，</w:t>
      </w:r>
      <w:r>
        <w:rPr>
          <w:rFonts w:hint="eastAsia" w:ascii="仿宋" w:hAnsi="仿宋" w:eastAsia="仿宋" w:cs="仿宋"/>
          <w:sz w:val="32"/>
          <w:szCs w:val="32"/>
          <w:rtl w:val="0"/>
          <w:lang w:eastAsia="zh-CN"/>
        </w:rPr>
        <w:t>会第</w:t>
      </w:r>
      <w:r>
        <w:rPr>
          <w:rFonts w:hint="eastAsia" w:ascii="仿宋" w:hAnsi="仿宋" w:eastAsia="仿宋" w:cs="仿宋"/>
          <w:sz w:val="32"/>
          <w:szCs w:val="32"/>
          <w:rtl w:val="0"/>
        </w:rPr>
        <w:t>一时间接收最新资源</w:t>
      </w:r>
    </w:p>
    <w:p w14:paraId="4213016C">
      <w:pPr>
        <w:pStyle w:val="9"/>
        <w:spacing w:line="36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drawing>
          <wp:inline distT="0" distB="0" distL="114300" distR="114300">
            <wp:extent cx="5257800" cy="2519045"/>
            <wp:effectExtent l="0" t="0" r="0" b="10795"/>
            <wp:docPr id="3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55FA9">
      <w:pPr>
        <w:pStyle w:val="9"/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（2）根据期刊，推送期刊下全部的文章</w:t>
      </w:r>
    </w:p>
    <w:p w14:paraId="6BB93BE3">
      <w:pPr>
        <w:pStyle w:val="9"/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（3）AI速览：对一期的文章进行AI总结，</w:t>
      </w:r>
      <w:r>
        <w:rPr>
          <w:rFonts w:hint="eastAsia" w:ascii="仿宋" w:hAnsi="仿宋" w:eastAsia="仿宋" w:cs="仿宋"/>
          <w:color w:val="3E3E3E"/>
          <w:sz w:val="32"/>
          <w:szCs w:val="32"/>
          <w:highlight w:val="white"/>
          <w:rtl w:val="0"/>
        </w:rPr>
        <w:t>快速提炼文献的核心内容和关键创新点</w:t>
      </w:r>
      <w:r>
        <w:rPr>
          <w:rFonts w:hint="eastAsia" w:ascii="仿宋" w:hAnsi="仿宋" w:eastAsia="仿宋" w:cs="仿宋"/>
          <w:sz w:val="32"/>
          <w:szCs w:val="32"/>
          <w:rtl w:val="0"/>
        </w:rPr>
        <w:t>；点击溯源角标，可快速定位到对应的资源</w:t>
      </w:r>
    </w:p>
    <w:p w14:paraId="63A4A22D">
      <w:pPr>
        <w:pStyle w:val="9"/>
        <w:spacing w:line="240" w:lineRule="auto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（4）期刊对话：支持对期刊，进行快速对话，获取期刊的核心要点、重要研究内容</w:t>
      </w:r>
    </w:p>
    <w:p w14:paraId="774653A7">
      <w:pPr>
        <w:pStyle w:val="9"/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drawing>
          <wp:inline distT="0" distB="0" distL="114300" distR="114300">
            <wp:extent cx="5257800" cy="2519045"/>
            <wp:effectExtent l="0" t="0" r="0" b="10795"/>
            <wp:docPr id="3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2FA55">
      <w:pPr>
        <w:pStyle w:val="10"/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3.3学者</w:t>
      </w:r>
    </w:p>
    <w:p w14:paraId="00FB920F">
      <w:pPr>
        <w:pStyle w:val="9"/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根据研究兴趣，关注学者，推送学者的最新研究成果</w:t>
      </w:r>
    </w:p>
    <w:p w14:paraId="2704EFEF">
      <w:pPr>
        <w:pStyle w:val="9"/>
        <w:spacing w:line="240" w:lineRule="auto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（1）关注学者：输入研究兴趣或方向，跟踪学者</w:t>
      </w:r>
    </w:p>
    <w:p w14:paraId="1C3C3807">
      <w:pPr>
        <w:pStyle w:val="9"/>
        <w:spacing w:line="240" w:lineRule="auto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  <w:r>
        <w:drawing>
          <wp:inline distT="0" distB="0" distL="114300" distR="114300">
            <wp:extent cx="5257800" cy="2519045"/>
            <wp:effectExtent l="0" t="0" r="0" b="10795"/>
            <wp:docPr id="3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F1F14">
      <w:pPr>
        <w:pStyle w:val="9"/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（2）推送学者的研究成果</w:t>
      </w:r>
    </w:p>
    <w:p w14:paraId="1F8FBAB1">
      <w:pPr>
        <w:pStyle w:val="9"/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（3）AI速览：对学者的研究成果，进行快速总结</w:t>
      </w:r>
    </w:p>
    <w:p w14:paraId="1D0C0A8D">
      <w:pPr>
        <w:pStyle w:val="9"/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（4）学者对话：与学者进行对话</w:t>
      </w:r>
    </w:p>
    <w:p w14:paraId="33BDD2C0">
      <w:pPr>
        <w:pStyle w:val="9"/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drawing>
          <wp:inline distT="0" distB="0" distL="114300" distR="114300">
            <wp:extent cx="5257800" cy="2519045"/>
            <wp:effectExtent l="0" t="0" r="0" b="10795"/>
            <wp:docPr id="38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9BBCA">
      <w:pPr>
        <w:pStyle w:val="10"/>
        <w:spacing w:line="240" w:lineRule="auto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3.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4学术顶会</w:t>
      </w:r>
    </w:p>
    <w:p w14:paraId="475C9941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选择会议年份，追踪顶会文章。同时还可以和前述的研究兴趣进行联动，高效筛选相关文献。</w:t>
      </w:r>
      <w:r>
        <w:drawing>
          <wp:inline distT="0" distB="0" distL="114300" distR="114300">
            <wp:extent cx="5266690" cy="2797810"/>
            <wp:effectExtent l="0" t="0" r="6350" b="635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A3D63">
      <w:pPr>
        <w:pStyle w:val="10"/>
        <w:spacing w:line="240" w:lineRule="auto"/>
        <w:jc w:val="left"/>
        <w:rPr>
          <w:rFonts w:hint="default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3.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5预印本</w:t>
      </w:r>
    </w:p>
    <w:p w14:paraId="793FFA6E">
      <w:pPr>
        <w:keepNext w:val="0"/>
        <w:keepLines w:val="0"/>
        <w:widowControl/>
        <w:suppressLineNumbers w:val="0"/>
        <w:spacing w:before="0" w:beforeAutospacing="1" w:after="200" w:afterAutospacing="0" w:line="273" w:lineRule="auto"/>
        <w:ind w:left="0" w:right="0"/>
        <w:jc w:val="left"/>
        <w:rPr>
          <w:rFonts w:hint="default" w:ascii="仿宋" w:hAnsi="仿宋" w:eastAsia="仿宋" w:cs="仿宋"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rtl w:val="0"/>
          <w:lang w:val="en-US" w:eastAsia="zh-CN"/>
        </w:rPr>
        <w:t>展示不同的预印本的前沿文献。</w:t>
      </w:r>
    </w:p>
    <w:p w14:paraId="1569AEAB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/>
        <w:ind w:leftChars="0" w:right="0" w:rightChars="0"/>
        <w:rPr>
          <w:rFonts w:hint="default" w:ascii="仿宋" w:hAnsi="仿宋" w:eastAsia="仿宋" w:cs="仿宋"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rtl w:val="0"/>
          <w:lang w:val="en-US" w:eastAsia="zh-CN"/>
        </w:rPr>
        <w:t>（1）新增兴趣领域，根据自己的研究方向追踪</w:t>
      </w:r>
      <w:r>
        <w:rPr>
          <w:rFonts w:hint="default" w:ascii="仿宋" w:hAnsi="仿宋" w:eastAsia="仿宋" w:cs="仿宋"/>
          <w:kern w:val="0"/>
          <w:sz w:val="32"/>
          <w:szCs w:val="32"/>
          <w:rtl w:val="0"/>
          <w:lang w:val="en-US" w:eastAsia="zh-CN"/>
        </w:rPr>
        <w:t>arxiv</w:t>
      </w:r>
      <w:r>
        <w:rPr>
          <w:rFonts w:hint="eastAsia" w:ascii="仿宋" w:hAnsi="仿宋" w:eastAsia="仿宋" w:cs="仿宋"/>
          <w:kern w:val="0"/>
          <w:sz w:val="32"/>
          <w:szCs w:val="32"/>
          <w:rtl w:val="0"/>
          <w:lang w:val="en-US" w:eastAsia="zh-CN"/>
        </w:rPr>
        <w:t>中特定的领域文献。</w:t>
      </w:r>
    </w:p>
    <w:p w14:paraId="179E9E10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/>
        <w:ind w:leftChars="0" w:right="0" w:rightChars="0"/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rtl w:val="0"/>
          <w:lang w:val="en-US" w:eastAsia="zh-CN"/>
        </w:rPr>
        <w:t>（2）</w:t>
      </w:r>
      <w:r>
        <w:rPr>
          <w:rFonts w:hint="default" w:ascii="仿宋" w:hAnsi="仿宋" w:eastAsia="仿宋" w:cs="仿宋"/>
          <w:kern w:val="0"/>
          <w:sz w:val="32"/>
          <w:szCs w:val="32"/>
          <w:rtl w:val="0"/>
          <w:lang w:val="en-US" w:eastAsia="zh-CN"/>
        </w:rPr>
        <w:t>AI</w:t>
      </w:r>
      <w:r>
        <w:rPr>
          <w:rFonts w:hint="eastAsia" w:ascii="仿宋" w:hAnsi="仿宋" w:eastAsia="仿宋" w:cs="仿宋"/>
          <w:kern w:val="0"/>
          <w:sz w:val="32"/>
          <w:szCs w:val="32"/>
          <w:rtl w:val="0"/>
          <w:lang w:val="en-US" w:eastAsia="zh-CN"/>
        </w:rPr>
        <w:t>速览：针对推送的资源进行总结阅读，进行论文速刷。</w:t>
      </w:r>
      <w:r>
        <w:drawing>
          <wp:inline distT="0" distB="0" distL="114300" distR="114300">
            <wp:extent cx="5266690" cy="2797810"/>
            <wp:effectExtent l="0" t="0" r="6350" b="635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CE650">
      <w:pPr>
        <w:pStyle w:val="8"/>
        <w:spacing w:line="360" w:lineRule="auto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4.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灵感画布</w:t>
      </w:r>
    </w:p>
    <w:p w14:paraId="14375BB0">
      <w:pPr>
        <w:keepNext w:val="0"/>
        <w:keepLines w:val="0"/>
        <w:widowControl/>
        <w:suppressLineNumbers w:val="0"/>
        <w:spacing w:before="0" w:beforeAutospacing="1" w:after="200" w:afterAutospacing="0" w:line="273" w:lineRule="auto"/>
        <w:ind w:left="0" w:right="0"/>
        <w:jc w:val="left"/>
      </w:pPr>
      <w:r>
        <w:rPr>
          <w:rFonts w:hint="eastAsia" w:ascii="仿宋" w:hAnsi="仿宋" w:eastAsia="仿宋" w:cs="仿宋"/>
          <w:kern w:val="0"/>
          <w:sz w:val="32"/>
          <w:szCs w:val="32"/>
          <w:rtl w:val="0"/>
          <w:lang w:val="en-US" w:eastAsia="zh-CN"/>
        </w:rPr>
        <w:t>灵感画布面向科研学习与内容创作提供一体化编辑支持，支持文本、图片、表格、代码、公式、流程图等多种内容形式。用户可以根据实际任务进行内容撰写与组织，并通过实时预览同步查看呈现效果。同时，灵感画布支持AI辅助润色、改写、缩写和扩写，帮助用户更高效地完成笔记、报告、教程等内容创作。</w:t>
      </w:r>
      <w:r>
        <w:drawing>
          <wp:inline distT="0" distB="0" distL="114300" distR="114300">
            <wp:extent cx="5257800" cy="2519045"/>
            <wp:effectExtent l="0" t="0" r="0" b="10795"/>
            <wp:docPr id="4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2F941">
      <w:pPr>
        <w:pStyle w:val="8"/>
        <w:spacing w:line="360" w:lineRule="auto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5.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深度学习</w:t>
      </w:r>
    </w:p>
    <w:p w14:paraId="18B77DD8">
      <w:pPr>
        <w:pStyle w:val="9"/>
        <w:spacing w:line="360" w:lineRule="auto"/>
        <w:jc w:val="left"/>
        <w:rPr>
          <w:rFonts w:hint="default" w:ascii="仿宋" w:hAnsi="仿宋" w:eastAsia="仿宋" w:cs="仿宋"/>
          <w:sz w:val="32"/>
          <w:szCs w:val="32"/>
          <w:rtl w:val="0"/>
        </w:rPr>
      </w:pP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深度学习面向用户在学习过程中的不同需求，提供学习问答、深度求解、智能测验、深度研究、可视化和精通之路等多种学习模式。用户可以根据需要解决的问题选择相应模式，与</w:t>
      </w: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 xml:space="preserve"> AI 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进行互动学习。</w:t>
      </w:r>
      <w:r>
        <w:drawing>
          <wp:inline distT="0" distB="0" distL="114300" distR="114300">
            <wp:extent cx="5266690" cy="2797810"/>
            <wp:effectExtent l="0" t="0" r="6350" b="6350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37428">
      <w:pPr>
        <w:pStyle w:val="9"/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</w:p>
    <w:p w14:paraId="15013579">
      <w:pPr>
        <w:pStyle w:val="9"/>
        <w:spacing w:line="360" w:lineRule="auto"/>
        <w:jc w:val="left"/>
      </w:pPr>
      <w:r>
        <w:drawing>
          <wp:inline distT="0" distB="0" distL="114300" distR="114300">
            <wp:extent cx="5262880" cy="2637155"/>
            <wp:effectExtent l="0" t="0" r="10160" b="1460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04352">
      <w:pPr>
        <w:pStyle w:val="8"/>
        <w:numPr>
          <w:ilvl w:val="0"/>
          <w:numId w:val="4"/>
        </w:numPr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AI课堂</w:t>
      </w:r>
    </w:p>
    <w:p w14:paraId="0B68A3AB">
      <w:pPr>
        <w:keepNext w:val="0"/>
        <w:keepLines w:val="0"/>
        <w:widowControl/>
        <w:suppressLineNumbers w:val="0"/>
        <w:spacing w:before="0" w:beforeAutospacing="1" w:after="200" w:afterAutospacing="0" w:line="273" w:lineRule="auto"/>
        <w:ind w:left="0" w:right="0"/>
        <w:jc w:val="left"/>
        <w:rPr>
          <w:rFonts w:hint="default" w:ascii="仿宋" w:hAnsi="仿宋" w:eastAsia="仿宋" w:cs="仿宋"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rtl w:val="0"/>
          <w:lang w:val="en-US" w:eastAsia="zh-CN"/>
        </w:rPr>
        <w:t>面向自主学习和课堂教学。可以告诉</w:t>
      </w:r>
      <w:r>
        <w:rPr>
          <w:rFonts w:hint="default" w:ascii="仿宋" w:hAnsi="仿宋" w:eastAsia="仿宋" w:cs="仿宋"/>
          <w:kern w:val="0"/>
          <w:sz w:val="32"/>
          <w:szCs w:val="32"/>
          <w:rtl w:val="0"/>
          <w:lang w:val="en-US" w:eastAsia="zh-CN"/>
        </w:rPr>
        <w:t>AI</w:t>
      </w:r>
      <w:r>
        <w:rPr>
          <w:rFonts w:hint="eastAsia" w:ascii="仿宋" w:hAnsi="仿宋" w:eastAsia="仿宋" w:cs="仿宋"/>
          <w:kern w:val="0"/>
          <w:sz w:val="32"/>
          <w:szCs w:val="32"/>
          <w:rtl w:val="0"/>
          <w:lang w:val="en-US" w:eastAsia="zh-CN"/>
        </w:rPr>
        <w:t>想要了解学习的知识或者要进行教学的知识，</w:t>
      </w:r>
      <w:r>
        <w:rPr>
          <w:rFonts w:hint="default" w:ascii="仿宋" w:hAnsi="仿宋" w:eastAsia="仿宋" w:cs="仿宋"/>
          <w:kern w:val="0"/>
          <w:sz w:val="32"/>
          <w:szCs w:val="32"/>
          <w:rtl w:val="0"/>
          <w:lang w:val="en-US" w:eastAsia="zh-CN"/>
        </w:rPr>
        <w:t>AI</w:t>
      </w:r>
      <w:r>
        <w:rPr>
          <w:rFonts w:hint="eastAsia" w:ascii="仿宋" w:hAnsi="仿宋" w:eastAsia="仿宋" w:cs="仿宋"/>
          <w:kern w:val="0"/>
          <w:sz w:val="32"/>
          <w:szCs w:val="32"/>
          <w:rtl w:val="0"/>
          <w:lang w:val="en-US" w:eastAsia="zh-CN"/>
        </w:rPr>
        <w:t>会自动生成</w:t>
      </w:r>
      <w:r>
        <w:rPr>
          <w:rFonts w:hint="default" w:ascii="仿宋" w:hAnsi="仿宋" w:eastAsia="仿宋" w:cs="仿宋"/>
          <w:kern w:val="0"/>
          <w:sz w:val="32"/>
          <w:szCs w:val="32"/>
          <w:rtl w:val="0"/>
          <w:lang w:val="en-US" w:eastAsia="zh-CN"/>
        </w:rPr>
        <w:t>PPT</w:t>
      </w:r>
      <w:r>
        <w:rPr>
          <w:rFonts w:hint="eastAsia" w:ascii="仿宋" w:hAnsi="仿宋" w:eastAsia="仿宋" w:cs="仿宋"/>
          <w:kern w:val="0"/>
          <w:sz w:val="32"/>
          <w:szCs w:val="32"/>
          <w:rtl w:val="0"/>
          <w:lang w:val="en-US" w:eastAsia="zh-CN"/>
        </w:rPr>
        <w:t>课件并进行讲解，提供互动式的学习体验。</w:t>
      </w:r>
    </w:p>
    <w:p w14:paraId="4F56A6D2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200" w:afterAutospacing="0" w:line="273" w:lineRule="auto"/>
        <w:ind w:leftChars="0" w:right="0" w:rightChars="0"/>
        <w:contextualSpacing/>
        <w:jc w:val="left"/>
        <w:rPr>
          <w:rFonts w:hint="default" w:ascii="仿宋" w:hAnsi="仿宋" w:eastAsia="仿宋" w:cs="仿宋"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rtl w:val="0"/>
          <w:lang w:val="en-US" w:eastAsia="zh-CN"/>
        </w:rPr>
        <w:t>（1）先输入主题内容，点击智能生成就会开始根据需求生成相应内容。</w:t>
      </w:r>
      <w:r>
        <w:drawing>
          <wp:inline distT="0" distB="0" distL="114300" distR="114300">
            <wp:extent cx="5266690" cy="2797810"/>
            <wp:effectExtent l="0" t="0" r="6350" b="6350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1B61F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200" w:afterAutospacing="0" w:line="273" w:lineRule="auto"/>
        <w:ind w:leftChars="0" w:right="0" w:rightChars="0"/>
        <w:contextualSpacing/>
        <w:jc w:val="left"/>
        <w:rPr>
          <w:rFonts w:hint="eastAsia" w:ascii="仿宋" w:hAnsi="仿宋" w:eastAsia="仿宋" w:cs="仿宋"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rtl w:val="0"/>
          <w:lang w:val="en-US" w:eastAsia="zh-CN"/>
        </w:rPr>
        <w:t>（2）生成课堂</w:t>
      </w:r>
      <w:r>
        <w:rPr>
          <w:rFonts w:hint="default" w:ascii="仿宋" w:hAnsi="仿宋" w:eastAsia="仿宋" w:cs="仿宋"/>
          <w:kern w:val="0"/>
          <w:sz w:val="32"/>
          <w:szCs w:val="32"/>
          <w:rtl w:val="0"/>
          <w:lang w:val="en-US" w:eastAsia="zh-CN"/>
        </w:rPr>
        <w:t>ppt</w:t>
      </w:r>
      <w:r>
        <w:rPr>
          <w:rFonts w:hint="eastAsia" w:ascii="仿宋" w:hAnsi="仿宋" w:eastAsia="仿宋" w:cs="仿宋"/>
          <w:kern w:val="0"/>
          <w:sz w:val="32"/>
          <w:szCs w:val="32"/>
          <w:rtl w:val="0"/>
          <w:lang w:val="en-US" w:eastAsia="zh-CN"/>
        </w:rPr>
        <w:t>以供自主学习或课堂教学。</w:t>
      </w:r>
    </w:p>
    <w:p w14:paraId="21BA280A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200" w:afterAutospacing="0" w:line="273" w:lineRule="auto"/>
        <w:ind w:leftChars="0" w:right="0" w:rightChars="0"/>
        <w:contextualSpacing/>
        <w:jc w:val="left"/>
        <w:rPr>
          <w:rFonts w:hint="eastAsia"/>
        </w:rPr>
      </w:pPr>
      <w:r>
        <w:drawing>
          <wp:inline distT="0" distB="0" distL="114300" distR="114300">
            <wp:extent cx="5262880" cy="2602230"/>
            <wp:effectExtent l="0" t="0" r="10160" b="3810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60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89FEF">
      <w:pPr>
        <w:pStyle w:val="8"/>
        <w:numPr>
          <w:ilvl w:val="0"/>
          <w:numId w:val="4"/>
        </w:numPr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知识星链</w:t>
      </w:r>
    </w:p>
    <w:p w14:paraId="17D341F5">
      <w:pPr>
        <w:pStyle w:val="9"/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知识星链即个人知识库和团队知识库服务，支持个人与团队的知识资产管理，解决“知识遗忘”与“协作低效”两大痛点。它能够整合团队资源、共享文献，构建团队专属的知识库，并进行深度交互；也支持个人阅读清单管理，构建个人学习体系，实现智能学习与知识管理。地促进了团队高效协作和成果转化，让知识真正流动起来，形成价值。知识星链能够瞬间阅读并理解导入的所有笔记、文档或链接，并根据提问，从这些资料中提取信息、总结要点、建立关联，最终生成PPT、报告等定制化内容。</w:t>
      </w:r>
    </w:p>
    <w:p w14:paraId="7CC8E246">
      <w:pPr>
        <w:pStyle w:val="9"/>
        <w:numPr>
          <w:ilvl w:val="0"/>
          <w:numId w:val="5"/>
        </w:numPr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新建知识链：支持创建团队知识链、个人知识知识链。</w:t>
      </w:r>
    </w:p>
    <w:p w14:paraId="6972D8B6">
      <w:pPr>
        <w:pStyle w:val="9"/>
        <w:numPr>
          <w:ilvl w:val="0"/>
          <w:numId w:val="0"/>
        </w:numPr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  <w:r>
        <w:drawing>
          <wp:inline distT="0" distB="0" distL="114300" distR="114300">
            <wp:extent cx="5271135" cy="2546350"/>
            <wp:effectExtent l="0" t="0" r="1905" b="13970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4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D2BFD">
      <w:pPr>
        <w:pStyle w:val="9"/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（2）知识链文献来源：可以基于闻道系统检索添加、自主上传、网址和同步zo</w:t>
      </w:r>
      <w:r>
        <w:rPr>
          <w:rFonts w:hint="eastAsia" w:ascii="仿宋" w:hAnsi="仿宋" w:eastAsia="仿宋" w:cs="仿宋"/>
          <w:sz w:val="32"/>
          <w:szCs w:val="32"/>
          <w:rtl w:val="0"/>
        </w:rPr>
        <w:tab/>
      </w:r>
      <w:r>
        <w:rPr>
          <w:rFonts w:hint="eastAsia" w:ascii="仿宋" w:hAnsi="仿宋" w:eastAsia="仿宋" w:cs="仿宋"/>
          <w:sz w:val="32"/>
          <w:szCs w:val="32"/>
          <w:rtl w:val="0"/>
        </w:rPr>
        <w:t>tero。</w:t>
      </w:r>
    </w:p>
    <w:p w14:paraId="7F77B4C1">
      <w:pPr>
        <w:pStyle w:val="9"/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（3）阅读全文：可以在线阅读团队共享的文献全文。</w:t>
      </w:r>
    </w:p>
    <w:p w14:paraId="4C148FEA">
      <w:pPr>
        <w:pStyle w:val="9"/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（4）AI速览：交互，能够快速解析单篇文献，也能对多篇文献进行矩阵比对，输出期刊概述和相关内容。右侧按钮支持重新生成、生成海报、文档导出、在线编辑等服务。</w:t>
      </w:r>
    </w:p>
    <w:p w14:paraId="7F2E254C">
      <w:pPr>
        <w:pStyle w:val="9"/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（5）知识图谱：基于文献内容，快速生成相关知识图谱。</w:t>
      </w:r>
    </w:p>
    <w:p w14:paraId="54C1B92A">
      <w:pPr>
        <w:pStyle w:val="9"/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  <w:r>
        <w:rPr>
          <w:rFonts w:hint="eastAsia" w:ascii="仿宋" w:hAnsi="仿宋" w:eastAsia="仿宋" w:cs="仿宋"/>
          <w:sz w:val="32"/>
          <w:szCs w:val="32"/>
          <w:rtl w:val="0"/>
        </w:rPr>
        <w:t>（6）报告产出：选择文献来源，选择生成的报告类型，支持报告、演示文稿（PPT）、AI教案、AI课堂。</w:t>
      </w:r>
    </w:p>
    <w:p w14:paraId="04FDD05D">
      <w:pPr>
        <w:pStyle w:val="8"/>
        <w:numPr>
          <w:ilvl w:val="0"/>
          <w:numId w:val="4"/>
        </w:numPr>
        <w:spacing w:line="360" w:lineRule="auto"/>
        <w:jc w:val="left"/>
        <w:rPr>
          <w:rFonts w:hint="eastAsia" w:ascii="仿宋" w:hAnsi="仿宋" w:eastAsia="仿宋" w:cs="仿宋"/>
          <w:sz w:val="32"/>
          <w:szCs w:val="32"/>
          <w:rtl w:val="0"/>
        </w:rPr>
      </w:pP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白泽</w:t>
      </w:r>
    </w:p>
    <w:p w14:paraId="2BD11D92">
      <w:pPr>
        <w:pStyle w:val="9"/>
      </w:pPr>
      <w:r>
        <w:drawing>
          <wp:inline distT="0" distB="0" distL="114300" distR="114300">
            <wp:extent cx="5260975" cy="2484120"/>
            <wp:effectExtent l="0" t="0" r="12065" b="0"/>
            <wp:docPr id="2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5F234">
      <w:pPr>
        <w:pStyle w:val="10"/>
        <w:spacing w:line="240" w:lineRule="auto"/>
        <w:jc w:val="left"/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  <w:rtl w:val="0"/>
        </w:rPr>
        <w:t>.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1 AI科研助手</w:t>
      </w:r>
    </w:p>
    <w:p w14:paraId="1B66B095">
      <w:pPr>
        <w:pStyle w:val="9"/>
        <w:spacing w:line="360" w:lineRule="auto"/>
        <w:jc w:val="left"/>
        <w:rPr>
          <w:rFonts w:hint="default" w:ascii="仿宋" w:hAnsi="仿宋" w:eastAsia="仿宋" w:cs="仿宋"/>
          <w:sz w:val="32"/>
          <w:szCs w:val="32"/>
          <w:rtl w:val="0"/>
        </w:rPr>
      </w:pP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负责知识库管理、学术科研任务调度等日常工作，随时待命响应用户的问答交互。</w:t>
      </w:r>
    </w:p>
    <w:p w14:paraId="6D6BFB93">
      <w:pPr>
        <w:pStyle w:val="9"/>
        <w:rPr>
          <w:rFonts w:hint="default"/>
          <w:lang w:val="en-US"/>
        </w:rPr>
      </w:pPr>
      <w:r>
        <w:drawing>
          <wp:inline distT="0" distB="0" distL="114300" distR="114300">
            <wp:extent cx="5267960" cy="2571115"/>
            <wp:effectExtent l="0" t="0" r="5080" b="4445"/>
            <wp:docPr id="2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0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57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FEDB3">
      <w:pPr>
        <w:pStyle w:val="10"/>
        <w:spacing w:line="240" w:lineRule="auto"/>
        <w:jc w:val="left"/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  <w:rtl w:val="0"/>
        </w:rPr>
        <w:t>.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2 AI导师</w:t>
      </w:r>
    </w:p>
    <w:p w14:paraId="6F3338B6">
      <w:pPr>
        <w:pStyle w:val="9"/>
        <w:spacing w:line="360" w:lineRule="auto"/>
        <w:jc w:val="left"/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rtl w:val="0"/>
          <w:lang w:val="en-US" w:eastAsia="zh-CN"/>
        </w:rPr>
        <w:t>AI</w:t>
      </w:r>
      <w:r>
        <w:rPr>
          <w:rFonts w:hint="eastAsia" w:ascii="仿宋" w:hAnsi="仿宋" w:eastAsia="仿宋" w:cs="仿宋"/>
          <w:sz w:val="32"/>
          <w:szCs w:val="32"/>
          <w:rtl w:val="0"/>
          <w:lang w:val="en-US" w:eastAsia="zh-CN"/>
        </w:rPr>
        <w:t>导师可以提供学术研究与文献管理、数据分析与科学计算等。</w:t>
      </w:r>
      <w:r>
        <w:drawing>
          <wp:inline distT="0" distB="0" distL="114300" distR="114300">
            <wp:extent cx="5267960" cy="2464435"/>
            <wp:effectExtent l="0" t="0" r="5080" b="4445"/>
            <wp:docPr id="2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6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90469">
      <w:pPr>
        <w:pStyle w:val="9"/>
        <w:rPr>
          <w:rFonts w:hint="eastAsia"/>
          <w:rtl w:val="0"/>
          <w:lang w:val="en-US" w:eastAsia="zh-CN"/>
        </w:rPr>
      </w:pPr>
    </w:p>
    <w:p w14:paraId="0DBC08F8">
      <w:pPr>
        <w:pStyle w:val="9"/>
        <w:rPr>
          <w:rFonts w:hint="default"/>
          <w:rtl w:val="0"/>
          <w:lang w:val="en-US" w:eastAsia="zh-CN"/>
        </w:rPr>
      </w:pPr>
    </w:p>
    <w:p w14:paraId="3FDD5A48">
      <w:pPr>
        <w:pStyle w:val="9"/>
        <w:rPr>
          <w:rFonts w:hint="eastAsia"/>
          <w:rtl w:val="0"/>
        </w:rPr>
      </w:pPr>
    </w:p>
    <w:p w14:paraId="271130C3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MicrosoftYaHei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A9E39C"/>
    <w:multiLevelType w:val="singleLevel"/>
    <w:tmpl w:val="DAA9E39C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2317D843"/>
    <w:multiLevelType w:val="singleLevel"/>
    <w:tmpl w:val="2317D843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680C2829"/>
    <w:multiLevelType w:val="singleLevel"/>
    <w:tmpl w:val="680C282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39AB5CD"/>
    <w:multiLevelType w:val="singleLevel"/>
    <w:tmpl w:val="739AB5CD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7E5E7864"/>
    <w:multiLevelType w:val="singleLevel"/>
    <w:tmpl w:val="7E5E7864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jOWViNGUzOTA2MWI1NjhkNmIyNDNiNTFjNjVmYWMifQ=="/>
  </w:docVars>
  <w:rsids>
    <w:rsidRoot w:val="00000000"/>
    <w:rsid w:val="01F34D6D"/>
    <w:rsid w:val="027D0AD3"/>
    <w:rsid w:val="140B3D3C"/>
    <w:rsid w:val="174B284B"/>
    <w:rsid w:val="4E3D3791"/>
    <w:rsid w:val="738E6525"/>
    <w:rsid w:val="756756A7"/>
    <w:rsid w:val="A7DD469F"/>
    <w:rsid w:val="B7FFD2C5"/>
    <w:rsid w:val="D1AF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Bullet"/>
    <w:basedOn w:val="1"/>
    <w:uiPriority w:val="0"/>
    <w:pPr>
      <w:tabs>
        <w:tab w:val="left" w:pos="360"/>
      </w:tabs>
      <w:spacing w:after="200" w:afterAutospacing="0" w:line="273" w:lineRule="auto"/>
      <w:ind w:left="360" w:hanging="360"/>
      <w:contextualSpacing/>
      <w:jc w:val="left"/>
    </w:pPr>
    <w:rPr>
      <w:rFonts w:hint="default" w:ascii="Times New Roman" w:hAnsi="Times New Roman" w:eastAsia="宋体" w:cs="Times New Roman"/>
      <w:kern w:val="0"/>
      <w:sz w:val="22"/>
      <w:szCs w:val="22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 w:line="240" w:lineRule="auto"/>
      <w:ind w:left="0" w:right="0"/>
      <w:jc w:val="left"/>
    </w:pPr>
    <w:rPr>
      <w:rFonts w:ascii="宋体" w:hAnsi="宋体" w:eastAsia="宋体" w:cs="宋体"/>
      <w:kern w:val="0"/>
      <w:sz w:val="24"/>
      <w:szCs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石墨文档标题 1"/>
    <w:next w:val="9"/>
    <w:unhideWhenUsed/>
    <w:qFormat/>
    <w:uiPriority w:val="9"/>
    <w:pPr>
      <w:spacing w:before="260" w:after="260"/>
      <w:outlineLvl w:val="1"/>
    </w:pPr>
    <w:rPr>
      <w:rFonts w:ascii="Arial Unicode MS" w:hAnsi="Arial Unicode MS" w:eastAsia="MicrosoftYaHei" w:cs="Arial Unicode MS"/>
      <w:b/>
      <w:bCs/>
      <w:sz w:val="32"/>
      <w:szCs w:val="32"/>
    </w:rPr>
  </w:style>
  <w:style w:type="paragraph" w:customStyle="1" w:styleId="9">
    <w:name w:val="石墨文档正文"/>
    <w:qFormat/>
    <w:uiPriority w:val="0"/>
    <w:rPr>
      <w:rFonts w:ascii="Arial Unicode MS" w:hAnsi="Arial Unicode MS" w:eastAsia="MicrosoftYaHei" w:cs="Arial Unicode MS"/>
      <w:sz w:val="22"/>
      <w:szCs w:val="22"/>
    </w:rPr>
  </w:style>
  <w:style w:type="paragraph" w:customStyle="1" w:styleId="10">
    <w:name w:val="石墨文档标题 2"/>
    <w:next w:val="9"/>
    <w:unhideWhenUsed/>
    <w:qFormat/>
    <w:uiPriority w:val="9"/>
    <w:pPr>
      <w:spacing w:before="260" w:after="260"/>
      <w:outlineLvl w:val="2"/>
    </w:pPr>
    <w:rPr>
      <w:rFonts w:ascii="Arial Unicode MS" w:hAnsi="Arial Unicode MS" w:eastAsia="MicrosoftYaHei" w:cs="Arial Unicode MS"/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9" Type="http://schemas.openxmlformats.org/officeDocument/2006/relationships/fontTable" Target="fontTable.xml"/><Relationship Id="rId38" Type="http://schemas.openxmlformats.org/officeDocument/2006/relationships/numbering" Target="numbering.xml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2677</Words>
  <Characters>2797</Characters>
  <Lines>0</Lines>
  <Paragraphs>0</Paragraphs>
  <TotalTime>55</TotalTime>
  <ScaleCrop>false</ScaleCrop>
  <LinksUpToDate>false</LinksUpToDate>
  <CharactersWithSpaces>2807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2026-05-15T18:26:00Z</dcterms:created>
  <dc:creator>Administrator</dc:creator>
  <cp:lastModifiedBy>文文</cp:lastModifiedBy>
  <dcterms:modified xsi:type="dcterms:W3CDTF">2026-09-21T02:37:55Z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F92124E565FEE21CEFF0AC6A7486B007_43</vt:lpwstr>
  </property>
  <property fmtid="{D5CDD505-2E9C-101B-9397-08002B2CF9AE}" pid="4" name="KSOTemplateDocerSaveRecord">
    <vt:lpwstr>eyJoZGlkIjoiZGExZTMyM2Q0OGQzYzA5ZDFmMDM5NTA3NTU0ZDA0ZjQiLCJ1c2VySWQiOiIzNzcyNzQyNDEifQ==</vt:lpwstr>
  </property>
</Properties>
</file>